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FBC0" w14:textId="0714561D" w:rsidR="0039181E" w:rsidRDefault="0039181E" w:rsidP="00854454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54454">
        <w:rPr>
          <w:rFonts w:ascii="Arial" w:hAnsi="Arial" w:cs="Arial"/>
          <w:sz w:val="22"/>
          <w:szCs w:val="22"/>
        </w:rPr>
        <w:t xml:space="preserve">The </w:t>
      </w:r>
      <w:r w:rsidRPr="0039181E">
        <w:rPr>
          <w:rFonts w:ascii="Arial" w:hAnsi="Arial" w:cs="Arial"/>
          <w:i/>
          <w:iCs/>
          <w:sz w:val="22"/>
          <w:szCs w:val="22"/>
        </w:rPr>
        <w:t>Major Sports Facilities Act 2001</w:t>
      </w:r>
      <w:r w:rsidRPr="0039181E">
        <w:rPr>
          <w:rFonts w:ascii="Arial" w:hAnsi="Arial" w:cs="Arial"/>
          <w:sz w:val="22"/>
          <w:szCs w:val="22"/>
        </w:rPr>
        <w:t xml:space="preserve"> (the MSF Act) establishes Stadiums Queensland </w:t>
      </w:r>
      <w:r w:rsidR="000443D3">
        <w:rPr>
          <w:rFonts w:ascii="Arial" w:hAnsi="Arial" w:cs="Arial"/>
          <w:sz w:val="22"/>
          <w:szCs w:val="22"/>
        </w:rPr>
        <w:t xml:space="preserve">(SQ) </w:t>
      </w:r>
      <w:r w:rsidRPr="0039181E">
        <w:rPr>
          <w:rFonts w:ascii="Arial" w:hAnsi="Arial" w:cs="Arial"/>
          <w:sz w:val="22"/>
          <w:szCs w:val="22"/>
        </w:rPr>
        <w:t>as the Authority responsible for managing, operating, using, developing and promoting facilities in Queensland for the staging of national and international sport, recreational, entertainment or special events.</w:t>
      </w:r>
    </w:p>
    <w:p w14:paraId="071A9E1A" w14:textId="621A0A5E" w:rsidR="00C760A8" w:rsidRDefault="0039181E" w:rsidP="00854454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2018, a Stadium Taskforce was established to review the pricing and practices of </w:t>
      </w:r>
      <w:r w:rsidR="000443D3">
        <w:rPr>
          <w:rFonts w:ascii="Arial" w:hAnsi="Arial" w:cs="Arial"/>
          <w:sz w:val="22"/>
          <w:szCs w:val="22"/>
        </w:rPr>
        <w:t>SQ</w:t>
      </w:r>
      <w:r>
        <w:rPr>
          <w:rFonts w:ascii="Arial" w:hAnsi="Arial" w:cs="Arial"/>
          <w:sz w:val="22"/>
          <w:szCs w:val="22"/>
        </w:rPr>
        <w:t xml:space="preserve">. The </w:t>
      </w:r>
      <w:r w:rsidR="0058756C">
        <w:rPr>
          <w:rFonts w:ascii="Arial" w:hAnsi="Arial" w:cs="Arial"/>
          <w:sz w:val="22"/>
          <w:szCs w:val="22"/>
        </w:rPr>
        <w:t xml:space="preserve">Stadium </w:t>
      </w:r>
      <w:r>
        <w:rPr>
          <w:rFonts w:ascii="Arial" w:hAnsi="Arial" w:cs="Arial"/>
          <w:sz w:val="22"/>
          <w:szCs w:val="22"/>
        </w:rPr>
        <w:t xml:space="preserve">Taskforce delivered its Interim </w:t>
      </w:r>
      <w:r w:rsidR="00496A78">
        <w:rPr>
          <w:rFonts w:ascii="Arial" w:hAnsi="Arial" w:cs="Arial"/>
          <w:sz w:val="22"/>
          <w:szCs w:val="22"/>
        </w:rPr>
        <w:t xml:space="preserve">Report </w:t>
      </w:r>
      <w:r>
        <w:rPr>
          <w:rFonts w:ascii="Arial" w:hAnsi="Arial" w:cs="Arial"/>
          <w:sz w:val="22"/>
          <w:szCs w:val="22"/>
        </w:rPr>
        <w:t xml:space="preserve">and Final Report </w:t>
      </w:r>
      <w:r w:rsidR="00C760A8">
        <w:rPr>
          <w:rFonts w:ascii="Arial" w:hAnsi="Arial" w:cs="Arial"/>
          <w:sz w:val="22"/>
          <w:szCs w:val="22"/>
        </w:rPr>
        <w:t xml:space="preserve">to Government </w:t>
      </w:r>
      <w:r>
        <w:rPr>
          <w:rFonts w:ascii="Arial" w:hAnsi="Arial" w:cs="Arial"/>
          <w:sz w:val="22"/>
          <w:szCs w:val="22"/>
        </w:rPr>
        <w:t xml:space="preserve">which contained </w:t>
      </w:r>
      <w:r w:rsidR="002935FC">
        <w:rPr>
          <w:rFonts w:ascii="Arial" w:hAnsi="Arial" w:cs="Arial"/>
          <w:sz w:val="22"/>
          <w:szCs w:val="22"/>
        </w:rPr>
        <w:t>a total of 53</w:t>
      </w:r>
      <w:r>
        <w:rPr>
          <w:rFonts w:ascii="Arial" w:hAnsi="Arial" w:cs="Arial"/>
          <w:sz w:val="22"/>
          <w:szCs w:val="22"/>
        </w:rPr>
        <w:t xml:space="preserve"> recommendations designed to improve the commercial agility and governance of SQ</w:t>
      </w:r>
      <w:r w:rsidR="0059309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with some requiring legislative amendments to the MSF Act.</w:t>
      </w:r>
    </w:p>
    <w:p w14:paraId="30B836C6" w14:textId="7C9AE219" w:rsidR="0039181E" w:rsidRDefault="00C760A8" w:rsidP="00854454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2019, Government supported, or supported in-principle, all</w:t>
      </w:r>
      <w:r w:rsidR="00593098">
        <w:rPr>
          <w:rFonts w:ascii="Arial" w:hAnsi="Arial" w:cs="Arial"/>
          <w:sz w:val="22"/>
          <w:szCs w:val="22"/>
        </w:rPr>
        <w:t xml:space="preserve"> Stadium Taskforce Interim</w:t>
      </w:r>
      <w:r w:rsidR="00496A78">
        <w:rPr>
          <w:rFonts w:ascii="Arial" w:hAnsi="Arial" w:cs="Arial"/>
          <w:sz w:val="22"/>
          <w:szCs w:val="22"/>
        </w:rPr>
        <w:t xml:space="preserve"> Report</w:t>
      </w:r>
      <w:r w:rsidR="00593098">
        <w:rPr>
          <w:rFonts w:ascii="Arial" w:hAnsi="Arial" w:cs="Arial"/>
          <w:sz w:val="22"/>
          <w:szCs w:val="22"/>
        </w:rPr>
        <w:t xml:space="preserve"> and Final Report</w:t>
      </w:r>
      <w:r>
        <w:rPr>
          <w:rFonts w:ascii="Arial" w:hAnsi="Arial" w:cs="Arial"/>
          <w:sz w:val="22"/>
          <w:szCs w:val="22"/>
        </w:rPr>
        <w:t xml:space="preserve"> recommendations. </w:t>
      </w:r>
    </w:p>
    <w:p w14:paraId="66EBBD36" w14:textId="4CC1D90F" w:rsidR="00562B97" w:rsidRPr="00C760A8" w:rsidRDefault="0039181E" w:rsidP="00854454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Major Sports Facilities Amendment Bill 2022 </w:t>
      </w:r>
      <w:r w:rsidR="0006173F">
        <w:rPr>
          <w:rFonts w:ascii="Arial" w:hAnsi="Arial" w:cs="Arial"/>
          <w:sz w:val="22"/>
          <w:szCs w:val="22"/>
        </w:rPr>
        <w:t xml:space="preserve">amends the MSF Act to </w:t>
      </w:r>
      <w:r>
        <w:rPr>
          <w:rFonts w:ascii="Arial" w:hAnsi="Arial" w:cs="Arial"/>
          <w:sz w:val="22"/>
          <w:szCs w:val="22"/>
        </w:rPr>
        <w:t>implement outstanding Stadium Taskforce recommendations</w:t>
      </w:r>
      <w:r w:rsidR="0058756C">
        <w:rPr>
          <w:rFonts w:ascii="Arial" w:hAnsi="Arial" w:cs="Arial"/>
          <w:sz w:val="22"/>
          <w:szCs w:val="22"/>
        </w:rPr>
        <w:t xml:space="preserve"> arising from the Interim Report (Recommendation 1.3) and Final Report (Recommendations 1.1, 1.2, 1.3, 1.4 and 1.6). </w:t>
      </w:r>
      <w:r w:rsidR="00562B97" w:rsidRPr="00C760A8">
        <w:rPr>
          <w:rFonts w:ascii="Arial" w:hAnsi="Arial" w:cs="Arial"/>
          <w:sz w:val="22"/>
          <w:szCs w:val="22"/>
        </w:rPr>
        <w:t xml:space="preserve"> </w:t>
      </w:r>
    </w:p>
    <w:p w14:paraId="7F9FA94C" w14:textId="3454CD87" w:rsidR="005B1275" w:rsidRPr="00C760A8" w:rsidRDefault="005B1275" w:rsidP="00854454">
      <w:pPr>
        <w:numPr>
          <w:ilvl w:val="0"/>
          <w:numId w:val="4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854454">
        <w:rPr>
          <w:rFonts w:ascii="Arial" w:hAnsi="Arial" w:cs="Arial"/>
          <w:sz w:val="22"/>
          <w:szCs w:val="22"/>
          <w:u w:val="single"/>
        </w:rPr>
        <w:t>Cabinet approved</w:t>
      </w:r>
      <w:r w:rsidR="00921A6D" w:rsidRPr="00921A6D">
        <w:rPr>
          <w:rFonts w:ascii="Arial" w:hAnsi="Arial" w:cs="Arial"/>
          <w:sz w:val="22"/>
          <w:szCs w:val="22"/>
        </w:rPr>
        <w:t xml:space="preserve"> th</w:t>
      </w:r>
      <w:r w:rsidR="00C760A8">
        <w:rPr>
          <w:rFonts w:ascii="Arial" w:hAnsi="Arial" w:cs="Arial"/>
          <w:sz w:val="22"/>
          <w:szCs w:val="22"/>
        </w:rPr>
        <w:t>e introduction of the Major Sports Facilities Amendment Bill 2022 into the Legislative Assembly</w:t>
      </w:r>
      <w:r w:rsidR="004A7E8D">
        <w:rPr>
          <w:rFonts w:ascii="Arial" w:hAnsi="Arial" w:cs="Arial"/>
          <w:sz w:val="22"/>
          <w:szCs w:val="22"/>
        </w:rPr>
        <w:t xml:space="preserve">. </w:t>
      </w:r>
    </w:p>
    <w:p w14:paraId="2B2ED673" w14:textId="0AF4D901" w:rsidR="005B1275" w:rsidRPr="00EA0E6E" w:rsidRDefault="005B1275" w:rsidP="00EA0E6E">
      <w:pPr>
        <w:numPr>
          <w:ilvl w:val="0"/>
          <w:numId w:val="4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EA0E6E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854454">
        <w:rPr>
          <w:rFonts w:ascii="Arial" w:hAnsi="Arial" w:cs="Arial"/>
          <w:i/>
          <w:iCs/>
          <w:sz w:val="22"/>
          <w:szCs w:val="22"/>
        </w:rPr>
        <w:t>:</w:t>
      </w:r>
    </w:p>
    <w:p w14:paraId="3EE5CDC6" w14:textId="4BF98567" w:rsidR="00BA6441" w:rsidRDefault="00487162" w:rsidP="00854454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C760A8" w:rsidRPr="001935CB">
          <w:rPr>
            <w:rStyle w:val="Hyperlink"/>
            <w:rFonts w:ascii="Arial" w:hAnsi="Arial" w:cs="Arial"/>
            <w:sz w:val="22"/>
            <w:szCs w:val="22"/>
          </w:rPr>
          <w:t>Major Sports Facilities Amendment Bill 2022</w:t>
        </w:r>
      </w:hyperlink>
    </w:p>
    <w:p w14:paraId="67B9F188" w14:textId="11F7B721" w:rsidR="001935CB" w:rsidRDefault="00487162" w:rsidP="00854454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C760A8" w:rsidRPr="001935CB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EE15B8">
        <w:rPr>
          <w:rFonts w:ascii="Arial" w:hAnsi="Arial" w:cs="Arial"/>
          <w:sz w:val="22"/>
          <w:szCs w:val="22"/>
        </w:rPr>
        <w:t xml:space="preserve"> </w:t>
      </w:r>
    </w:p>
    <w:p w14:paraId="3504269F" w14:textId="0B3A05B8" w:rsidR="00C760A8" w:rsidRDefault="00487162" w:rsidP="00854454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1935CB" w:rsidRPr="001935CB">
          <w:rPr>
            <w:rStyle w:val="Hyperlink"/>
            <w:rFonts w:ascii="Arial" w:hAnsi="Arial" w:cs="Arial"/>
            <w:sz w:val="22"/>
            <w:szCs w:val="22"/>
          </w:rPr>
          <w:t>Explanatory Notes -</w:t>
        </w:r>
        <w:r w:rsidR="00EE15B8" w:rsidRPr="001935CB">
          <w:rPr>
            <w:rStyle w:val="Hyperlink"/>
            <w:rFonts w:ascii="Arial" w:hAnsi="Arial" w:cs="Arial"/>
            <w:sz w:val="22"/>
            <w:szCs w:val="22"/>
          </w:rPr>
          <w:t xml:space="preserve"> Erratum</w:t>
        </w:r>
      </w:hyperlink>
    </w:p>
    <w:p w14:paraId="44F11675" w14:textId="6D6EED9C" w:rsidR="00EF579A" w:rsidRPr="00EA0E6E" w:rsidRDefault="00487162" w:rsidP="00854454">
      <w:pPr>
        <w:numPr>
          <w:ilvl w:val="0"/>
          <w:numId w:val="3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C760A8" w:rsidRPr="001935CB">
          <w:rPr>
            <w:rStyle w:val="Hyperlink"/>
            <w:rFonts w:ascii="Arial" w:hAnsi="Arial" w:cs="Arial"/>
            <w:sz w:val="22"/>
            <w:szCs w:val="22"/>
          </w:rPr>
          <w:t>Human Rights Statement of Compatibility</w:t>
        </w:r>
      </w:hyperlink>
    </w:p>
    <w:sectPr w:rsidR="00EF579A" w:rsidRPr="00EA0E6E" w:rsidSect="00EA0E6E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F91B" w14:textId="77777777" w:rsidR="00B86439" w:rsidRDefault="00B86439" w:rsidP="00D6589B">
      <w:r>
        <w:separator/>
      </w:r>
    </w:p>
  </w:endnote>
  <w:endnote w:type="continuationSeparator" w:id="0">
    <w:p w14:paraId="7850E03E" w14:textId="77777777" w:rsidR="00B86439" w:rsidRDefault="00B8643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33D9" w14:textId="77777777" w:rsidR="00B86439" w:rsidRDefault="00B86439" w:rsidP="00D6589B">
      <w:r>
        <w:separator/>
      </w:r>
    </w:p>
  </w:footnote>
  <w:footnote w:type="continuationSeparator" w:id="0">
    <w:p w14:paraId="15EFB140" w14:textId="77777777" w:rsidR="00B86439" w:rsidRDefault="00B8643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333A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A7F246C" w14:textId="77777777" w:rsidR="00BD0674" w:rsidRPr="00D75134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AA4E95F" w14:textId="7D71E782" w:rsidR="00BD0674" w:rsidRPr="001E209B" w:rsidRDefault="00BD0674" w:rsidP="00BD067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45234B">
      <w:rPr>
        <w:rFonts w:ascii="Arial" w:hAnsi="Arial" w:cs="Arial"/>
        <w:b/>
        <w:sz w:val="22"/>
        <w:szCs w:val="22"/>
      </w:rPr>
      <w:t>August</w:t>
    </w:r>
    <w:r w:rsidR="00BC17D9">
      <w:rPr>
        <w:rFonts w:ascii="Arial" w:hAnsi="Arial" w:cs="Arial"/>
        <w:b/>
        <w:sz w:val="22"/>
        <w:szCs w:val="22"/>
      </w:rPr>
      <w:t xml:space="preserve"> 202</w:t>
    </w:r>
    <w:r w:rsidR="00C90CD9">
      <w:rPr>
        <w:rFonts w:ascii="Arial" w:hAnsi="Arial" w:cs="Arial"/>
        <w:b/>
        <w:sz w:val="22"/>
        <w:szCs w:val="22"/>
      </w:rPr>
      <w:t>2</w:t>
    </w:r>
  </w:p>
  <w:p w14:paraId="3399CCCF" w14:textId="1B350B6F" w:rsidR="00BD0674" w:rsidRPr="00921A6D" w:rsidRDefault="0045234B" w:rsidP="00854454">
    <w:pPr>
      <w:autoSpaceDE w:val="0"/>
      <w:autoSpaceDN w:val="0"/>
      <w:adjustRightInd w:val="0"/>
      <w:spacing w:before="120"/>
      <w:jc w:val="both"/>
      <w:outlineLvl w:val="0"/>
      <w:rPr>
        <w:i/>
        <w:szCs w:val="24"/>
      </w:rPr>
    </w:pPr>
    <w:r>
      <w:rPr>
        <w:rFonts w:ascii="Arial" w:hAnsi="Arial" w:cs="Arial"/>
        <w:b/>
        <w:sz w:val="22"/>
        <w:szCs w:val="22"/>
        <w:u w:val="single"/>
      </w:rPr>
      <w:t>Major Sports Facilities Amendment Bill 2022</w:t>
    </w:r>
  </w:p>
  <w:p w14:paraId="41167910" w14:textId="5C6D71FA" w:rsidR="00BD0674" w:rsidRDefault="00921A6D" w:rsidP="00854454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921A6D">
      <w:rPr>
        <w:rFonts w:ascii="Arial" w:hAnsi="Arial" w:cs="Arial"/>
        <w:b/>
        <w:sz w:val="22"/>
        <w:szCs w:val="22"/>
        <w:u w:val="single"/>
      </w:rPr>
      <w:t>Minister for Tourism</w:t>
    </w:r>
    <w:r w:rsidR="00C90CD9">
      <w:rPr>
        <w:rFonts w:ascii="Arial" w:hAnsi="Arial" w:cs="Arial"/>
        <w:b/>
        <w:sz w:val="22"/>
        <w:szCs w:val="22"/>
        <w:u w:val="single"/>
      </w:rPr>
      <w:t xml:space="preserve">, </w:t>
    </w:r>
    <w:r w:rsidR="00D205D0">
      <w:rPr>
        <w:rFonts w:ascii="Arial" w:hAnsi="Arial" w:cs="Arial"/>
        <w:b/>
        <w:sz w:val="22"/>
        <w:szCs w:val="22"/>
        <w:u w:val="single"/>
      </w:rPr>
      <w:t>Innovation</w:t>
    </w:r>
    <w:r w:rsidR="00357B0C">
      <w:rPr>
        <w:rFonts w:ascii="Arial" w:hAnsi="Arial" w:cs="Arial"/>
        <w:b/>
        <w:sz w:val="22"/>
        <w:szCs w:val="22"/>
        <w:u w:val="single"/>
      </w:rPr>
      <w:t xml:space="preserve"> and</w:t>
    </w:r>
    <w:r w:rsidR="0002180C">
      <w:rPr>
        <w:rFonts w:ascii="Arial" w:hAnsi="Arial" w:cs="Arial"/>
        <w:b/>
        <w:sz w:val="22"/>
        <w:szCs w:val="22"/>
        <w:u w:val="single"/>
      </w:rPr>
      <w:t xml:space="preserve"> </w:t>
    </w:r>
    <w:r w:rsidR="00D205D0">
      <w:rPr>
        <w:rFonts w:ascii="Arial" w:hAnsi="Arial" w:cs="Arial"/>
        <w:b/>
        <w:sz w:val="22"/>
        <w:szCs w:val="22"/>
        <w:u w:val="single"/>
      </w:rPr>
      <w:t>Sport</w:t>
    </w:r>
    <w:r w:rsidR="00C90CD9">
      <w:rPr>
        <w:rFonts w:ascii="Arial" w:hAnsi="Arial" w:cs="Arial"/>
        <w:b/>
        <w:sz w:val="22"/>
        <w:szCs w:val="22"/>
        <w:u w:val="single"/>
      </w:rPr>
      <w:t xml:space="preserve"> </w:t>
    </w:r>
    <w:r w:rsidR="000443D3">
      <w:rPr>
        <w:rFonts w:ascii="Arial" w:hAnsi="Arial" w:cs="Arial"/>
        <w:b/>
        <w:sz w:val="22"/>
        <w:szCs w:val="22"/>
        <w:u w:val="single"/>
      </w:rPr>
      <w:t>a</w:t>
    </w:r>
    <w:r w:rsidR="00C90CD9">
      <w:rPr>
        <w:rFonts w:ascii="Arial" w:hAnsi="Arial" w:cs="Arial"/>
        <w:b/>
        <w:sz w:val="22"/>
        <w:szCs w:val="22"/>
        <w:u w:val="single"/>
      </w:rPr>
      <w:t>nd Minister Assisting the Premier on Olympics and Paralympics Sport and Engagement</w:t>
    </w:r>
  </w:p>
  <w:p w14:paraId="162F339B" w14:textId="77777777" w:rsidR="00D6589B" w:rsidRDefault="00D6589B" w:rsidP="00852EC7">
    <w:pPr>
      <w:pStyle w:val="Header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277C1"/>
    <w:multiLevelType w:val="hybridMultilevel"/>
    <w:tmpl w:val="E312E3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3368AB52"/>
    <w:lvl w:ilvl="0" w:tplc="E3362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4882075">
    <w:abstractNumId w:val="2"/>
  </w:num>
  <w:num w:numId="2" w16cid:durableId="1746534971">
    <w:abstractNumId w:val="1"/>
  </w:num>
  <w:num w:numId="3" w16cid:durableId="15713101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460816">
    <w:abstractNumId w:val="2"/>
  </w:num>
  <w:num w:numId="5" w16cid:durableId="1478690002">
    <w:abstractNumId w:val="0"/>
  </w:num>
  <w:num w:numId="6" w16cid:durableId="13750823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180C"/>
    <w:rsid w:val="000443D3"/>
    <w:rsid w:val="0006173F"/>
    <w:rsid w:val="00080F8F"/>
    <w:rsid w:val="000C67FE"/>
    <w:rsid w:val="000F57FF"/>
    <w:rsid w:val="00141D01"/>
    <w:rsid w:val="001935CB"/>
    <w:rsid w:val="002160C9"/>
    <w:rsid w:val="00217261"/>
    <w:rsid w:val="002935FC"/>
    <w:rsid w:val="002D45C1"/>
    <w:rsid w:val="00311DCF"/>
    <w:rsid w:val="00357B0C"/>
    <w:rsid w:val="0039181E"/>
    <w:rsid w:val="003D15CE"/>
    <w:rsid w:val="00426652"/>
    <w:rsid w:val="0045234B"/>
    <w:rsid w:val="00487162"/>
    <w:rsid w:val="00496A78"/>
    <w:rsid w:val="004A0EC9"/>
    <w:rsid w:val="004A7E8D"/>
    <w:rsid w:val="00501C66"/>
    <w:rsid w:val="00562B97"/>
    <w:rsid w:val="00577CD5"/>
    <w:rsid w:val="0058756C"/>
    <w:rsid w:val="00593098"/>
    <w:rsid w:val="005947DC"/>
    <w:rsid w:val="005B1275"/>
    <w:rsid w:val="00654552"/>
    <w:rsid w:val="00686DD8"/>
    <w:rsid w:val="00732E22"/>
    <w:rsid w:val="00852EC7"/>
    <w:rsid w:val="00854454"/>
    <w:rsid w:val="00890195"/>
    <w:rsid w:val="008C7F25"/>
    <w:rsid w:val="00921A6D"/>
    <w:rsid w:val="00945AE3"/>
    <w:rsid w:val="009532AD"/>
    <w:rsid w:val="00AE3F78"/>
    <w:rsid w:val="00AF524A"/>
    <w:rsid w:val="00B86439"/>
    <w:rsid w:val="00BA6441"/>
    <w:rsid w:val="00BC17D9"/>
    <w:rsid w:val="00BD0674"/>
    <w:rsid w:val="00BF3A46"/>
    <w:rsid w:val="00C15B25"/>
    <w:rsid w:val="00C3083A"/>
    <w:rsid w:val="00C760A8"/>
    <w:rsid w:val="00C90CD9"/>
    <w:rsid w:val="00CF0D8A"/>
    <w:rsid w:val="00D205D0"/>
    <w:rsid w:val="00D6589B"/>
    <w:rsid w:val="00D767EE"/>
    <w:rsid w:val="00E02A9B"/>
    <w:rsid w:val="00E05627"/>
    <w:rsid w:val="00E41843"/>
    <w:rsid w:val="00E95FB1"/>
    <w:rsid w:val="00EA0E6E"/>
    <w:rsid w:val="00EE15B8"/>
    <w:rsid w:val="00EF579A"/>
    <w:rsid w:val="00F05193"/>
    <w:rsid w:val="00F1404E"/>
    <w:rsid w:val="00F37D28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F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1A6D"/>
    <w:pPr>
      <w:ind w:left="720"/>
      <w:contextualSpacing/>
    </w:pPr>
  </w:style>
  <w:style w:type="paragraph" w:styleId="Revision">
    <w:name w:val="Revision"/>
    <w:hidden/>
    <w:uiPriority w:val="99"/>
    <w:semiHidden/>
    <w:rsid w:val="000443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935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ttachments/Erratum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Attachments/Bil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3ACD0-E23E-4690-915D-AF85B5419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B0A25-9AC7-4B56-A27E-F0BAD7DC5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183</Words>
  <Characters>1108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Base>https://www.cabinet.qld.gov.au/documents/2022/Aug/MSFAB2022/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13</cp:revision>
  <cp:lastPrinted>2018-02-13T06:18:00Z</cp:lastPrinted>
  <dcterms:created xsi:type="dcterms:W3CDTF">2022-07-13T04:38:00Z</dcterms:created>
  <dcterms:modified xsi:type="dcterms:W3CDTF">2023-01-19T22:39:00Z</dcterms:modified>
  <cp:category>Events,Legislation,Sport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282828d4-d65e-4c38-b4f3-1feba3142871_Enabled">
    <vt:lpwstr>true</vt:lpwstr>
  </property>
  <property fmtid="{D5CDD505-2E9C-101B-9397-08002B2CF9AE}" pid="4" name="MSIP_Label_282828d4-d65e-4c38-b4f3-1feba3142871_SetDate">
    <vt:lpwstr>2023-01-19T22:39:57Z</vt:lpwstr>
  </property>
  <property fmtid="{D5CDD505-2E9C-101B-9397-08002B2CF9AE}" pid="5" name="MSIP_Label_282828d4-d65e-4c38-b4f3-1feba3142871_Method">
    <vt:lpwstr>Standard</vt:lpwstr>
  </property>
  <property fmtid="{D5CDD505-2E9C-101B-9397-08002B2CF9AE}" pid="6" name="MSIP_Label_282828d4-d65e-4c38-b4f3-1feba3142871_Name">
    <vt:lpwstr>OFFICIAL</vt:lpwstr>
  </property>
  <property fmtid="{D5CDD505-2E9C-101B-9397-08002B2CF9AE}" pid="7" name="MSIP_Label_282828d4-d65e-4c38-b4f3-1feba3142871_SiteId">
    <vt:lpwstr>51778d2a-a6ab-4c76-97dc-782782d65046</vt:lpwstr>
  </property>
  <property fmtid="{D5CDD505-2E9C-101B-9397-08002B2CF9AE}" pid="8" name="MSIP_Label_282828d4-d65e-4c38-b4f3-1feba3142871_ActionId">
    <vt:lpwstr>f898ff5b-21ec-4567-9cb5-823a0f9b285b</vt:lpwstr>
  </property>
  <property fmtid="{D5CDD505-2E9C-101B-9397-08002B2CF9AE}" pid="9" name="MSIP_Label_282828d4-d65e-4c38-b4f3-1feba3142871_ContentBits">
    <vt:lpwstr>0</vt:lpwstr>
  </property>
</Properties>
</file>